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1EB" w:themeColor="accent6" w:themeTint="33"/>
  <w:body>
    <w:p w:rsidR="00113A0F" w:rsidRDefault="00113A0F" w:rsidP="00B526EE">
      <w:pPr>
        <w:spacing w:after="0"/>
        <w:rPr>
          <w:rFonts w:ascii="AcmeFont" w:hAnsi="AcmeFont"/>
          <w:b/>
          <w:color w:val="000000" w:themeColor="text1"/>
          <w:sz w:val="44"/>
          <w:szCs w:val="44"/>
        </w:rPr>
      </w:pPr>
      <w:r w:rsidRPr="009B0A5E">
        <w:rPr>
          <w:rFonts w:ascii="AcmeFont" w:hAnsi="AcmeFont"/>
          <w:noProof/>
          <w:color w:val="000000" w:themeColor="text1"/>
          <w:sz w:val="44"/>
          <w:szCs w:val="44"/>
          <w:lang w:eastAsia="fr-FR"/>
        </w:rPr>
        <w:drawing>
          <wp:anchor distT="0" distB="0" distL="114300" distR="114300" simplePos="0" relativeHeight="251658240" behindDoc="0" locked="0" layoutInCell="1" allowOverlap="1" wp14:anchorId="4115C6D8" wp14:editId="7B7A13F2">
            <wp:simplePos x="0" y="0"/>
            <wp:positionH relativeFrom="column">
              <wp:align>left</wp:align>
            </wp:positionH>
            <wp:positionV relativeFrom="paragraph">
              <wp:align>top</wp:align>
            </wp:positionV>
            <wp:extent cx="2235835" cy="1902460"/>
            <wp:effectExtent l="0" t="0" r="0" b="2540"/>
            <wp:wrapSquare wrapText="bothSides"/>
            <wp:docPr id="6" name="Picture 10" descr="iStock_000019705692_Extr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iStock_000019705692_Extra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6149" cy="19024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E7684" w:rsidRPr="00380C88" w:rsidRDefault="00060427" w:rsidP="00060427">
      <w:pPr>
        <w:spacing w:after="0"/>
        <w:ind w:left="360"/>
        <w:jc w:val="right"/>
        <w:rPr>
          <w:rFonts w:ascii="AcmeFont" w:hAnsi="AcmeFont"/>
          <w:b/>
          <w:color w:val="0070C0"/>
          <w:sz w:val="44"/>
          <w:szCs w:val="44"/>
        </w:rPr>
      </w:pPr>
      <w:r>
        <w:rPr>
          <w:rFonts w:ascii="AcmeFont" w:hAnsi="AcmeFont"/>
          <w:b/>
          <w:color w:val="0070C0"/>
          <w:sz w:val="44"/>
          <w:szCs w:val="44"/>
        </w:rPr>
        <w:t xml:space="preserve">  </w:t>
      </w:r>
      <w:r w:rsidR="00933F9E" w:rsidRPr="00E363C2">
        <w:rPr>
          <w:rFonts w:ascii="AcmeFont" w:hAnsi="AcmeFont"/>
          <w:b/>
          <w:color w:val="863103" w:themeColor="accent2" w:themeShade="80"/>
          <w:sz w:val="44"/>
          <w:szCs w:val="44"/>
        </w:rPr>
        <w:t>Réussir</w:t>
      </w:r>
      <w:r w:rsidR="00B526EE" w:rsidRPr="00E363C2">
        <w:rPr>
          <w:rFonts w:ascii="AcmeFont" w:hAnsi="AcmeFont"/>
          <w:b/>
          <w:color w:val="863103" w:themeColor="accent2" w:themeShade="80"/>
          <w:sz w:val="44"/>
          <w:szCs w:val="44"/>
        </w:rPr>
        <w:t xml:space="preserve"> son Investissement</w:t>
      </w:r>
      <w:r w:rsidR="00C80BA8" w:rsidRPr="00E363C2">
        <w:rPr>
          <w:rFonts w:ascii="AcmeFont" w:hAnsi="AcmeFont"/>
          <w:b/>
          <w:color w:val="863103" w:themeColor="accent2" w:themeShade="80"/>
          <w:sz w:val="44"/>
          <w:szCs w:val="44"/>
        </w:rPr>
        <w:t xml:space="preserve"> </w:t>
      </w:r>
      <w:r w:rsidR="00E73195" w:rsidRPr="00E363C2">
        <w:rPr>
          <w:rFonts w:ascii="AcmeFont" w:hAnsi="AcmeFont"/>
          <w:b/>
          <w:color w:val="863103" w:themeColor="accent2" w:themeShade="80"/>
          <w:sz w:val="44"/>
          <w:szCs w:val="44"/>
        </w:rPr>
        <w:t xml:space="preserve">    </w:t>
      </w:r>
      <w:r w:rsidRPr="00E363C2">
        <w:rPr>
          <w:rFonts w:ascii="AcmeFont" w:hAnsi="AcmeFont"/>
          <w:b/>
          <w:color w:val="863103" w:themeColor="accent2" w:themeShade="80"/>
          <w:sz w:val="44"/>
          <w:szCs w:val="44"/>
        </w:rPr>
        <w:t xml:space="preserve">      </w:t>
      </w:r>
      <w:r w:rsidR="00C80BA8" w:rsidRPr="00E363C2">
        <w:rPr>
          <w:rFonts w:ascii="AcmeFont" w:hAnsi="AcmeFont"/>
          <w:b/>
          <w:color w:val="863103" w:themeColor="accent2" w:themeShade="80"/>
          <w:sz w:val="44"/>
          <w:szCs w:val="44"/>
        </w:rPr>
        <w:t>Préparez votre Retraite</w:t>
      </w:r>
      <w:r w:rsidR="00B526EE" w:rsidRPr="00380C88">
        <w:rPr>
          <w:rFonts w:ascii="AcmeFont" w:hAnsi="AcmeFont"/>
          <w:b/>
          <w:color w:val="0070C0"/>
          <w:sz w:val="44"/>
          <w:szCs w:val="44"/>
        </w:rPr>
        <w:br w:type="textWrapping" w:clear="all"/>
      </w:r>
    </w:p>
    <w:p w:rsidR="00B526EE" w:rsidRPr="007C6E03" w:rsidRDefault="00B526EE" w:rsidP="00425BF9">
      <w:pPr>
        <w:spacing w:after="0"/>
        <w:jc w:val="center"/>
        <w:rPr>
          <w:rFonts w:ascii="AcmeFont" w:hAnsi="AcmeFont"/>
          <w:b/>
        </w:rPr>
      </w:pPr>
      <w:r w:rsidRPr="007C6E03">
        <w:rPr>
          <w:rFonts w:ascii="AcmeFont" w:hAnsi="AcmeFont"/>
          <w:b/>
        </w:rPr>
        <w:t>L’investissement dans l’immobilier à but locatif ne s’improvise pas.</w:t>
      </w:r>
    </w:p>
    <w:p w:rsidR="00B526EE" w:rsidRPr="007C6E03" w:rsidRDefault="00B526EE" w:rsidP="00425BF9">
      <w:pPr>
        <w:spacing w:after="0"/>
        <w:jc w:val="center"/>
        <w:rPr>
          <w:rFonts w:ascii="AcmeFont" w:hAnsi="AcmeFont"/>
          <w:b/>
        </w:rPr>
      </w:pPr>
      <w:r w:rsidRPr="007C6E03">
        <w:rPr>
          <w:rFonts w:ascii="AcmeFont" w:hAnsi="AcmeFont"/>
          <w:b/>
        </w:rPr>
        <w:t>Les différents dispositifs mis en place par l’État sont complexes et difficiles à maitriser.</w:t>
      </w:r>
    </w:p>
    <w:p w:rsidR="00425BF9" w:rsidRDefault="00425BF9" w:rsidP="00425BF9">
      <w:pPr>
        <w:spacing w:after="0"/>
        <w:jc w:val="center"/>
        <w:rPr>
          <w:b/>
        </w:rPr>
      </w:pPr>
    </w:p>
    <w:p w:rsidR="00933F9E" w:rsidRDefault="00933F9E" w:rsidP="00933F9E">
      <w:pPr>
        <w:spacing w:after="0"/>
        <w:rPr>
          <w:rFonts w:ascii="AcmeFont" w:hAnsi="AcmeFont"/>
          <w:b/>
          <w:color w:val="C00000"/>
        </w:rPr>
      </w:pPr>
    </w:p>
    <w:p w:rsidR="00933F9E" w:rsidRPr="00E363C2" w:rsidRDefault="00933F9E" w:rsidP="00933F9E">
      <w:pPr>
        <w:spacing w:after="0"/>
        <w:rPr>
          <w:rFonts w:ascii="AcmeFont" w:hAnsi="AcmeFont"/>
          <w:b/>
          <w:color w:val="863103" w:themeColor="accent2" w:themeShade="80"/>
        </w:rPr>
      </w:pPr>
      <w:r w:rsidRPr="00E363C2">
        <w:rPr>
          <w:rFonts w:ascii="AcmeFont" w:hAnsi="AcmeFont"/>
          <w:b/>
          <w:color w:val="863103" w:themeColor="accent2" w:themeShade="80"/>
        </w:rPr>
        <w:t>NOTRE CONSEIL</w:t>
      </w:r>
    </w:p>
    <w:p w:rsidR="00C80BA8" w:rsidRDefault="00425BF9" w:rsidP="00425BF9">
      <w:pPr>
        <w:spacing w:after="0"/>
        <w:jc w:val="both"/>
        <w:rPr>
          <w:b/>
        </w:rPr>
      </w:pPr>
      <w:r>
        <w:rPr>
          <w:b/>
        </w:rPr>
        <w:t>Autant il est possible de mener à bien un projet de défiscalisation seul</w:t>
      </w:r>
      <w:r w:rsidR="00822467">
        <w:rPr>
          <w:b/>
        </w:rPr>
        <w:t>,</w:t>
      </w:r>
      <w:r>
        <w:rPr>
          <w:b/>
        </w:rPr>
        <w:t xml:space="preserve"> à condition de bien maitriser le marché immobilier, la finance et les secteurs à fort développement démographique. </w:t>
      </w:r>
    </w:p>
    <w:p w:rsidR="00425BF9" w:rsidRDefault="00425BF9" w:rsidP="00425BF9">
      <w:pPr>
        <w:spacing w:after="0"/>
        <w:jc w:val="both"/>
        <w:rPr>
          <w:rFonts w:cstheme="minorHAnsi"/>
          <w:b/>
          <w:bCs/>
          <w:color w:val="000000"/>
        </w:rPr>
      </w:pPr>
      <w:r>
        <w:rPr>
          <w:b/>
        </w:rPr>
        <w:t>Autant</w:t>
      </w:r>
      <w:r w:rsidR="00822467">
        <w:rPr>
          <w:b/>
        </w:rPr>
        <w:t xml:space="preserve"> il sera</w:t>
      </w:r>
      <w:r>
        <w:rPr>
          <w:b/>
        </w:rPr>
        <w:t xml:space="preserve"> hasardeux de s’engager dans un investissement </w:t>
      </w:r>
      <w:r w:rsidR="00933F9E">
        <w:rPr>
          <w:b/>
        </w:rPr>
        <w:t xml:space="preserve">qui est </w:t>
      </w:r>
      <w:r>
        <w:rPr>
          <w:b/>
        </w:rPr>
        <w:t>soumis à de nombreuses conditions et démarches administratives.</w:t>
      </w:r>
      <w:r w:rsidR="00933F9E">
        <w:rPr>
          <w:b/>
        </w:rPr>
        <w:t xml:space="preserve"> L’essentiel ne </w:t>
      </w:r>
      <w:r w:rsidR="00933F9E" w:rsidRPr="00425BF9">
        <w:rPr>
          <w:rFonts w:cstheme="minorHAnsi"/>
          <w:b/>
          <w:bCs/>
          <w:color w:val="000000"/>
        </w:rPr>
        <w:t>consiste pas à trouver le logement de vos rêves, ni de vérifier la marque des sanitaires</w:t>
      </w:r>
      <w:r w:rsidR="00822467">
        <w:rPr>
          <w:rFonts w:cstheme="minorHAnsi"/>
          <w:b/>
          <w:bCs/>
          <w:color w:val="000000"/>
        </w:rPr>
        <w:t>,</w:t>
      </w:r>
      <w:r w:rsidR="00933F9E">
        <w:rPr>
          <w:rFonts w:cstheme="minorHAnsi"/>
          <w:b/>
          <w:bCs/>
          <w:color w:val="000000"/>
        </w:rPr>
        <w:t xml:space="preserve"> mais </w:t>
      </w:r>
      <w:r w:rsidR="00822467">
        <w:rPr>
          <w:rFonts w:cstheme="minorHAnsi"/>
          <w:b/>
          <w:bCs/>
          <w:color w:val="000000"/>
        </w:rPr>
        <w:t xml:space="preserve">de </w:t>
      </w:r>
      <w:r w:rsidR="00933F9E">
        <w:rPr>
          <w:rFonts w:cstheme="minorHAnsi"/>
          <w:b/>
          <w:bCs/>
          <w:color w:val="000000"/>
        </w:rPr>
        <w:t>bien</w:t>
      </w:r>
      <w:r w:rsidR="00933F9E" w:rsidRPr="00933F9E">
        <w:rPr>
          <w:rFonts w:cstheme="minorHAnsi"/>
          <w:b/>
          <w:bCs/>
          <w:color w:val="000000"/>
        </w:rPr>
        <w:t xml:space="preserve"> </w:t>
      </w:r>
      <w:r w:rsidR="00933F9E">
        <w:rPr>
          <w:rFonts w:cstheme="minorHAnsi"/>
          <w:b/>
          <w:bCs/>
          <w:color w:val="000000"/>
        </w:rPr>
        <w:t>de valider l’économie, les perspectives, le prix du m² et la tendance du marché locatif.</w:t>
      </w:r>
      <w:r w:rsidR="005859D9">
        <w:rPr>
          <w:rFonts w:cstheme="minorHAnsi"/>
          <w:b/>
          <w:bCs/>
          <w:color w:val="000000"/>
        </w:rPr>
        <w:t xml:space="preserve"> Si vous ne maitrisez pas le système un </w:t>
      </w:r>
      <w:r w:rsidR="005859D9" w:rsidRPr="00B25561">
        <w:rPr>
          <w:rFonts w:ascii="AcmeFont" w:hAnsi="AcmeFont" w:cstheme="minorHAnsi"/>
          <w:b/>
          <w:bCs/>
          <w:color w:val="000000"/>
          <w:sz w:val="18"/>
          <w:szCs w:val="18"/>
        </w:rPr>
        <w:t>C</w:t>
      </w:r>
      <w:r w:rsidR="005859D9">
        <w:rPr>
          <w:rFonts w:cstheme="minorHAnsi"/>
          <w:b/>
          <w:bCs/>
          <w:color w:val="000000"/>
        </w:rPr>
        <w:t xml:space="preserve">onseiller en </w:t>
      </w:r>
      <w:r w:rsidR="005859D9" w:rsidRPr="00B25561">
        <w:rPr>
          <w:rFonts w:ascii="AcmeFont" w:hAnsi="AcmeFont" w:cstheme="minorHAnsi"/>
          <w:b/>
          <w:bCs/>
          <w:color w:val="000000"/>
          <w:sz w:val="18"/>
          <w:szCs w:val="18"/>
        </w:rPr>
        <w:t>G</w:t>
      </w:r>
      <w:r w:rsidR="005859D9">
        <w:rPr>
          <w:rFonts w:cstheme="minorHAnsi"/>
          <w:b/>
          <w:bCs/>
          <w:color w:val="000000"/>
        </w:rPr>
        <w:t xml:space="preserve">estion de </w:t>
      </w:r>
      <w:r w:rsidR="005859D9" w:rsidRPr="00B25561">
        <w:rPr>
          <w:rFonts w:ascii="AcmeFont" w:hAnsi="AcmeFont" w:cstheme="minorHAnsi"/>
          <w:b/>
          <w:bCs/>
          <w:color w:val="000000"/>
          <w:sz w:val="18"/>
          <w:szCs w:val="18"/>
        </w:rPr>
        <w:t>P</w:t>
      </w:r>
      <w:r w:rsidR="005859D9">
        <w:rPr>
          <w:rFonts w:cstheme="minorHAnsi"/>
          <w:b/>
          <w:bCs/>
          <w:color w:val="000000"/>
        </w:rPr>
        <w:t xml:space="preserve">atrimoine </w:t>
      </w:r>
      <w:r w:rsidR="005859D9" w:rsidRPr="00B25561">
        <w:rPr>
          <w:rFonts w:ascii="AcmeFont" w:hAnsi="AcmeFont" w:cstheme="minorHAnsi"/>
          <w:b/>
          <w:bCs/>
          <w:color w:val="000000"/>
          <w:sz w:val="18"/>
          <w:szCs w:val="18"/>
        </w:rPr>
        <w:t>I</w:t>
      </w:r>
      <w:r w:rsidR="005859D9">
        <w:rPr>
          <w:rFonts w:cstheme="minorHAnsi"/>
          <w:b/>
          <w:bCs/>
          <w:color w:val="000000"/>
        </w:rPr>
        <w:t>mmobilier se révélera d’une aide précieuse.</w:t>
      </w:r>
    </w:p>
    <w:p w:rsidR="00933F9E" w:rsidRDefault="00933F9E" w:rsidP="00425BF9">
      <w:pPr>
        <w:spacing w:after="0"/>
        <w:jc w:val="both"/>
        <w:rPr>
          <w:rFonts w:cstheme="minorHAnsi"/>
          <w:b/>
          <w:bCs/>
          <w:color w:val="000000"/>
        </w:rPr>
      </w:pPr>
    </w:p>
    <w:p w:rsidR="00933F9E" w:rsidRPr="00E363C2" w:rsidRDefault="00933F9E" w:rsidP="00933F9E">
      <w:pPr>
        <w:spacing w:after="0"/>
        <w:rPr>
          <w:rFonts w:ascii="AcmeFont" w:hAnsi="AcmeFont"/>
          <w:b/>
          <w:color w:val="863103" w:themeColor="accent2" w:themeShade="80"/>
        </w:rPr>
      </w:pPr>
      <w:r w:rsidRPr="00E363C2">
        <w:rPr>
          <w:rFonts w:ascii="AcmeFont" w:hAnsi="AcmeFont"/>
          <w:b/>
          <w:color w:val="863103" w:themeColor="accent2" w:themeShade="80"/>
        </w:rPr>
        <w:t>CHOIX DE L’EMPLACEMENT</w:t>
      </w:r>
    </w:p>
    <w:p w:rsidR="005859D9" w:rsidRPr="006A0233" w:rsidRDefault="00933F9E" w:rsidP="006A0233">
      <w:pPr>
        <w:spacing w:after="0"/>
        <w:jc w:val="both"/>
        <w:rPr>
          <w:b/>
        </w:rPr>
      </w:pPr>
      <w:r>
        <w:rPr>
          <w:b/>
        </w:rPr>
        <w:t xml:space="preserve">Pour s’assurer de la pérennité de la demande locative et </w:t>
      </w:r>
      <w:r w:rsidR="005859D9">
        <w:rPr>
          <w:b/>
        </w:rPr>
        <w:t xml:space="preserve">un </w:t>
      </w:r>
      <w:r>
        <w:rPr>
          <w:b/>
        </w:rPr>
        <w:t>potentiel de revente, l’investissement devra se situer principalement dans une région ayant</w:t>
      </w:r>
      <w:r w:rsidR="006A0233">
        <w:rPr>
          <w:b/>
        </w:rPr>
        <w:t>, u</w:t>
      </w:r>
      <w:r w:rsidR="005859D9" w:rsidRPr="0014325E">
        <w:rPr>
          <w:b/>
        </w:rPr>
        <w:t>ne forte croissance démographique et un dynamisme économique</w:t>
      </w:r>
      <w:r w:rsidR="006A0233">
        <w:rPr>
          <w:b/>
        </w:rPr>
        <w:t>, u</w:t>
      </w:r>
      <w:r w:rsidR="005859D9" w:rsidRPr="006A0233">
        <w:rPr>
          <w:b/>
        </w:rPr>
        <w:t>ne expansion universelle ou industrielle</w:t>
      </w:r>
      <w:r w:rsidR="006A0233">
        <w:rPr>
          <w:b/>
        </w:rPr>
        <w:t>, u</w:t>
      </w:r>
      <w:r w:rsidR="005859D9" w:rsidRPr="006A0233">
        <w:rPr>
          <w:b/>
        </w:rPr>
        <w:t>ne localisation dans les quartiers réservés</w:t>
      </w:r>
      <w:r w:rsidR="006A0233">
        <w:rPr>
          <w:b/>
        </w:rPr>
        <w:t xml:space="preserve"> et u</w:t>
      </w:r>
      <w:r w:rsidR="005859D9" w:rsidRPr="006A0233">
        <w:rPr>
          <w:b/>
        </w:rPr>
        <w:t>ne demande locative conséquente.</w:t>
      </w:r>
    </w:p>
    <w:p w:rsidR="006C4DA9" w:rsidRDefault="006C4DA9" w:rsidP="005859D9">
      <w:pPr>
        <w:spacing w:after="0"/>
        <w:rPr>
          <w:rFonts w:ascii="AcmeFont" w:hAnsi="AcmeFont"/>
          <w:b/>
          <w:color w:val="C00000"/>
        </w:rPr>
      </w:pPr>
    </w:p>
    <w:p w:rsidR="005859D9" w:rsidRPr="00E363C2" w:rsidRDefault="006C4DA9" w:rsidP="005859D9">
      <w:pPr>
        <w:spacing w:after="0"/>
        <w:rPr>
          <w:rFonts w:ascii="AcmeFont" w:hAnsi="AcmeFont"/>
          <w:b/>
          <w:color w:val="863103" w:themeColor="accent2" w:themeShade="80"/>
        </w:rPr>
      </w:pPr>
      <w:r w:rsidRPr="00E363C2">
        <w:rPr>
          <w:rFonts w:ascii="AcmeFont" w:hAnsi="AcmeFont"/>
          <w:b/>
          <w:color w:val="863103" w:themeColor="accent2" w:themeShade="80"/>
        </w:rPr>
        <w:t>GARANTIES DU CONSTRUCTEUR</w:t>
      </w:r>
    </w:p>
    <w:p w:rsidR="00113A0F" w:rsidRDefault="006C4DA9" w:rsidP="00113A0F">
      <w:pPr>
        <w:spacing w:after="0"/>
        <w:jc w:val="both"/>
        <w:rPr>
          <w:b/>
        </w:rPr>
      </w:pPr>
      <w:r>
        <w:rPr>
          <w:b/>
        </w:rPr>
        <w:t xml:space="preserve">Il est indispensable de vérifier que le programme </w:t>
      </w:r>
      <w:r w:rsidR="009B0A5E">
        <w:rPr>
          <w:b/>
        </w:rPr>
        <w:t xml:space="preserve">bénéficie </w:t>
      </w:r>
      <w:r>
        <w:rPr>
          <w:b/>
        </w:rPr>
        <w:t>des couvertures suivantes :</w:t>
      </w:r>
    </w:p>
    <w:p w:rsidR="006A0233" w:rsidRDefault="006A0233" w:rsidP="00113A0F">
      <w:pPr>
        <w:spacing w:after="0"/>
        <w:ind w:firstLine="708"/>
        <w:jc w:val="both"/>
        <w:rPr>
          <w:rFonts w:ascii="AcmeFont" w:hAnsi="AcmeFont"/>
          <w:b/>
          <w:sz w:val="18"/>
          <w:szCs w:val="18"/>
        </w:rPr>
      </w:pPr>
    </w:p>
    <w:p w:rsidR="00C84007" w:rsidRPr="00DD0DBC" w:rsidRDefault="006C4DA9" w:rsidP="00C84007">
      <w:pPr>
        <w:spacing w:after="0"/>
        <w:ind w:firstLine="708"/>
        <w:jc w:val="both"/>
        <w:rPr>
          <w:b/>
        </w:rPr>
      </w:pPr>
      <w:r w:rsidRPr="00DD0DBC">
        <w:rPr>
          <w:rFonts w:ascii="AcmeFont" w:hAnsi="AcmeFont"/>
          <w:b/>
          <w:sz w:val="18"/>
          <w:szCs w:val="18"/>
        </w:rPr>
        <w:t>G</w:t>
      </w:r>
      <w:r w:rsidRPr="00DD0DBC">
        <w:rPr>
          <w:b/>
        </w:rPr>
        <w:t xml:space="preserve">arantie </w:t>
      </w:r>
      <w:r w:rsidRPr="00DD0DBC">
        <w:rPr>
          <w:rFonts w:ascii="AcmeFont" w:hAnsi="AcmeFont"/>
          <w:b/>
          <w:sz w:val="18"/>
          <w:szCs w:val="18"/>
        </w:rPr>
        <w:t>F</w:t>
      </w:r>
      <w:r w:rsidRPr="00DD0DBC">
        <w:rPr>
          <w:b/>
        </w:rPr>
        <w:t xml:space="preserve">inancière de parfait </w:t>
      </w:r>
      <w:r w:rsidRPr="00DD0DBC">
        <w:rPr>
          <w:rFonts w:ascii="AcmeFont" w:hAnsi="AcmeFont"/>
          <w:b/>
          <w:sz w:val="18"/>
          <w:szCs w:val="18"/>
        </w:rPr>
        <w:t>A</w:t>
      </w:r>
      <w:r w:rsidRPr="00DD0DBC">
        <w:rPr>
          <w:b/>
        </w:rPr>
        <w:t>chèvement</w:t>
      </w:r>
      <w:r w:rsidR="00113A0F">
        <w:rPr>
          <w:b/>
        </w:rPr>
        <w:tab/>
      </w:r>
      <w:r w:rsidR="00113A0F">
        <w:rPr>
          <w:b/>
        </w:rPr>
        <w:tab/>
      </w:r>
      <w:r w:rsidR="00C84007" w:rsidRPr="00DD0DBC">
        <w:rPr>
          <w:rFonts w:ascii="AcmeFont" w:hAnsi="AcmeFont"/>
          <w:b/>
          <w:sz w:val="18"/>
          <w:szCs w:val="18"/>
        </w:rPr>
        <w:t>G</w:t>
      </w:r>
      <w:r w:rsidR="00C84007" w:rsidRPr="00DD0DBC">
        <w:rPr>
          <w:b/>
        </w:rPr>
        <w:t xml:space="preserve">arantie </w:t>
      </w:r>
      <w:r w:rsidR="00C84007" w:rsidRPr="00DD0DBC">
        <w:rPr>
          <w:rFonts w:ascii="AcmeFont" w:hAnsi="AcmeFont"/>
          <w:b/>
          <w:sz w:val="18"/>
          <w:szCs w:val="18"/>
        </w:rPr>
        <w:t>B</w:t>
      </w:r>
      <w:r w:rsidR="00C84007" w:rsidRPr="00C84007">
        <w:rPr>
          <w:rFonts w:cstheme="minorHAnsi"/>
          <w:b/>
          <w:sz w:val="18"/>
          <w:szCs w:val="18"/>
        </w:rPr>
        <w:t>i</w:t>
      </w:r>
      <w:r w:rsidR="00C84007" w:rsidRPr="00DD0DBC">
        <w:rPr>
          <w:b/>
        </w:rPr>
        <w:t>ennale</w:t>
      </w:r>
      <w:r w:rsidR="00C84007">
        <w:rPr>
          <w:b/>
        </w:rPr>
        <w:t xml:space="preserve">           </w:t>
      </w:r>
      <w:r w:rsidR="00113A0F">
        <w:rPr>
          <w:b/>
        </w:rPr>
        <w:tab/>
      </w:r>
      <w:r w:rsidR="00113A0F">
        <w:rPr>
          <w:b/>
        </w:rPr>
        <w:tab/>
      </w:r>
      <w:r w:rsidR="00113A0F">
        <w:rPr>
          <w:b/>
        </w:rPr>
        <w:tab/>
      </w:r>
      <w:r w:rsidR="00113A0F">
        <w:rPr>
          <w:b/>
        </w:rPr>
        <w:tab/>
      </w:r>
      <w:r w:rsidR="00C84007" w:rsidRPr="00DD0DBC">
        <w:rPr>
          <w:rFonts w:ascii="AcmeFont" w:hAnsi="AcmeFont"/>
          <w:b/>
          <w:sz w:val="18"/>
          <w:szCs w:val="18"/>
        </w:rPr>
        <w:t>G</w:t>
      </w:r>
      <w:r w:rsidR="00C84007" w:rsidRPr="00DD0DBC">
        <w:rPr>
          <w:b/>
        </w:rPr>
        <w:t xml:space="preserve">arantie </w:t>
      </w:r>
      <w:r w:rsidR="00C84007" w:rsidRPr="00DD0DBC">
        <w:rPr>
          <w:rFonts w:ascii="AcmeFont" w:hAnsi="AcmeFont"/>
          <w:b/>
          <w:sz w:val="18"/>
          <w:szCs w:val="18"/>
        </w:rPr>
        <w:t>D</w:t>
      </w:r>
      <w:r w:rsidR="00C84007" w:rsidRPr="00DD0DBC">
        <w:rPr>
          <w:b/>
        </w:rPr>
        <w:t xml:space="preserve">ommage </w:t>
      </w:r>
      <w:r w:rsidR="00C84007" w:rsidRPr="00DD0DBC">
        <w:rPr>
          <w:rFonts w:ascii="AcmeFont" w:hAnsi="AcmeFont"/>
          <w:b/>
          <w:sz w:val="18"/>
          <w:szCs w:val="18"/>
        </w:rPr>
        <w:t>O</w:t>
      </w:r>
      <w:r w:rsidR="00C84007">
        <w:rPr>
          <w:b/>
        </w:rPr>
        <w:t xml:space="preserve">uvrage </w:t>
      </w:r>
      <w:r w:rsidR="00C84007">
        <w:rPr>
          <w:b/>
        </w:rPr>
        <w:tab/>
      </w:r>
      <w:r w:rsidR="00C84007">
        <w:rPr>
          <w:b/>
        </w:rPr>
        <w:tab/>
      </w:r>
      <w:r w:rsidR="00C84007">
        <w:rPr>
          <w:b/>
        </w:rPr>
        <w:tab/>
      </w:r>
      <w:r w:rsidR="00C84007">
        <w:rPr>
          <w:b/>
        </w:rPr>
        <w:tab/>
      </w:r>
      <w:r w:rsidR="00113A0F" w:rsidRPr="00113A0F">
        <w:rPr>
          <w:rFonts w:ascii="AcmeFont" w:hAnsi="AcmeFont"/>
          <w:b/>
          <w:sz w:val="18"/>
          <w:szCs w:val="18"/>
        </w:rPr>
        <w:t>G</w:t>
      </w:r>
      <w:r w:rsidR="00113A0F">
        <w:rPr>
          <w:b/>
        </w:rPr>
        <w:t>arantie</w:t>
      </w:r>
      <w:r w:rsidRPr="00DD0DBC">
        <w:rPr>
          <w:b/>
        </w:rPr>
        <w:t xml:space="preserve"> </w:t>
      </w:r>
      <w:r w:rsidRPr="00DD0DBC">
        <w:rPr>
          <w:rFonts w:ascii="AcmeFont" w:hAnsi="AcmeFont"/>
          <w:b/>
          <w:sz w:val="18"/>
          <w:szCs w:val="18"/>
        </w:rPr>
        <w:t>D</w:t>
      </w:r>
      <w:r w:rsidR="00DD0DBC">
        <w:rPr>
          <w:b/>
        </w:rPr>
        <w:t>écennale</w:t>
      </w:r>
      <w:bookmarkStart w:id="0" w:name="_GoBack"/>
      <w:bookmarkEnd w:id="0"/>
    </w:p>
    <w:p w:rsidR="009B0A5E" w:rsidRDefault="009B0A5E" w:rsidP="009B0A5E">
      <w:pPr>
        <w:spacing w:after="0"/>
        <w:rPr>
          <w:rFonts w:ascii="AcmeFont" w:hAnsi="AcmeFont"/>
          <w:b/>
          <w:color w:val="C00000"/>
        </w:rPr>
      </w:pPr>
    </w:p>
    <w:p w:rsidR="009B0A5E" w:rsidRPr="00E363C2" w:rsidRDefault="009B0A5E" w:rsidP="009B0A5E">
      <w:pPr>
        <w:spacing w:after="0"/>
        <w:rPr>
          <w:rFonts w:ascii="AcmeFont" w:hAnsi="AcmeFont"/>
          <w:b/>
          <w:color w:val="863103" w:themeColor="accent2" w:themeShade="80"/>
        </w:rPr>
      </w:pPr>
      <w:r w:rsidRPr="00E363C2">
        <w:rPr>
          <w:rFonts w:ascii="AcmeFont" w:hAnsi="AcmeFont"/>
          <w:b/>
          <w:color w:val="863103" w:themeColor="accent2" w:themeShade="80"/>
        </w:rPr>
        <w:t>GARANTIES LOCATIVES</w:t>
      </w:r>
    </w:p>
    <w:p w:rsidR="009B0A5E" w:rsidRDefault="009B0A5E" w:rsidP="009B0A5E">
      <w:pPr>
        <w:spacing w:after="0"/>
        <w:jc w:val="both"/>
        <w:rPr>
          <w:b/>
        </w:rPr>
      </w:pPr>
      <w:r>
        <w:rPr>
          <w:b/>
        </w:rPr>
        <w:t>Il est fortement conseillé de confier sa gestion locative à un professionnel pour gérer votre bien qui sera conditionné des assurances suivantes :</w:t>
      </w:r>
    </w:p>
    <w:p w:rsidR="006A0233" w:rsidRDefault="006A0233" w:rsidP="00113A0F">
      <w:pPr>
        <w:spacing w:after="0"/>
        <w:ind w:firstLine="708"/>
        <w:rPr>
          <w:rFonts w:ascii="AcmeFont" w:hAnsi="AcmeFont"/>
          <w:b/>
          <w:sz w:val="18"/>
          <w:szCs w:val="18"/>
        </w:rPr>
      </w:pPr>
    </w:p>
    <w:p w:rsidR="009B0A5E" w:rsidRDefault="009B0A5E" w:rsidP="00113A0F">
      <w:pPr>
        <w:spacing w:after="0"/>
        <w:ind w:firstLine="708"/>
        <w:rPr>
          <w:b/>
        </w:rPr>
      </w:pPr>
      <w:r w:rsidRPr="00DD0DBC">
        <w:rPr>
          <w:rFonts w:ascii="AcmeFont" w:hAnsi="AcmeFont"/>
          <w:b/>
          <w:sz w:val="18"/>
          <w:szCs w:val="18"/>
        </w:rPr>
        <w:t>G</w:t>
      </w:r>
      <w:r w:rsidRPr="00DD0DBC">
        <w:rPr>
          <w:b/>
        </w:rPr>
        <w:t xml:space="preserve">arantie </w:t>
      </w:r>
      <w:r w:rsidRPr="00DD0DBC">
        <w:rPr>
          <w:rFonts w:ascii="AcmeFont" w:hAnsi="AcmeFont"/>
          <w:b/>
          <w:sz w:val="18"/>
          <w:szCs w:val="18"/>
        </w:rPr>
        <w:t>C</w:t>
      </w:r>
      <w:r w:rsidRPr="00DD0DBC">
        <w:rPr>
          <w:b/>
        </w:rPr>
        <w:t xml:space="preserve">arence </w:t>
      </w:r>
      <w:r w:rsidRPr="00DD0DBC">
        <w:rPr>
          <w:rFonts w:ascii="AcmeFont" w:hAnsi="AcmeFont"/>
          <w:b/>
          <w:sz w:val="18"/>
          <w:szCs w:val="18"/>
        </w:rPr>
        <w:t>L</w:t>
      </w:r>
      <w:r w:rsidRPr="00DD0DBC">
        <w:rPr>
          <w:b/>
        </w:rPr>
        <w:t>ocative</w:t>
      </w:r>
      <w:r w:rsidR="00DD0DBC">
        <w:rPr>
          <w:b/>
        </w:rPr>
        <w:t xml:space="preserve"> (</w:t>
      </w:r>
      <w:r w:rsidR="00DD0DBC" w:rsidRPr="00DD0DBC">
        <w:rPr>
          <w:b/>
          <w:sz w:val="18"/>
          <w:szCs w:val="18"/>
        </w:rPr>
        <w:t>Mise en place du 1</w:t>
      </w:r>
      <w:r w:rsidR="00DD0DBC" w:rsidRPr="00DD0DBC">
        <w:rPr>
          <w:b/>
          <w:sz w:val="18"/>
          <w:szCs w:val="18"/>
          <w:vertAlign w:val="superscript"/>
        </w:rPr>
        <w:t>er</w:t>
      </w:r>
      <w:r w:rsidR="00DD0DBC" w:rsidRPr="00DD0DBC">
        <w:rPr>
          <w:b/>
          <w:sz w:val="18"/>
          <w:szCs w:val="18"/>
        </w:rPr>
        <w:t xml:space="preserve"> locataire</w:t>
      </w:r>
      <w:r w:rsidR="00DD0DBC">
        <w:rPr>
          <w:b/>
        </w:rPr>
        <w:t xml:space="preserve">) </w:t>
      </w:r>
      <w:r w:rsidR="00113A0F">
        <w:rPr>
          <w:b/>
        </w:rPr>
        <w:t xml:space="preserve">  </w:t>
      </w:r>
      <w:r w:rsidR="00113A0F">
        <w:rPr>
          <w:b/>
        </w:rPr>
        <w:tab/>
      </w:r>
      <w:r w:rsidR="00DD0DBC" w:rsidRPr="00DD0DBC">
        <w:rPr>
          <w:rFonts w:ascii="AcmeFont" w:hAnsi="AcmeFont"/>
          <w:b/>
          <w:sz w:val="18"/>
          <w:szCs w:val="18"/>
        </w:rPr>
        <w:t>G</w:t>
      </w:r>
      <w:r w:rsidR="00DD0DBC">
        <w:rPr>
          <w:b/>
        </w:rPr>
        <w:t xml:space="preserve">arantie </w:t>
      </w:r>
      <w:r w:rsidR="00DD0DBC" w:rsidRPr="00DD0DBC">
        <w:rPr>
          <w:rFonts w:ascii="AcmeFont" w:hAnsi="AcmeFont"/>
          <w:b/>
          <w:sz w:val="18"/>
          <w:szCs w:val="18"/>
        </w:rPr>
        <w:t>V</w:t>
      </w:r>
      <w:r w:rsidR="00DD0DBC">
        <w:rPr>
          <w:b/>
        </w:rPr>
        <w:t xml:space="preserve">acance </w:t>
      </w:r>
      <w:r w:rsidR="00DD0DBC" w:rsidRPr="00DD0DBC">
        <w:rPr>
          <w:rFonts w:ascii="AcmeFont" w:hAnsi="AcmeFont"/>
          <w:b/>
          <w:sz w:val="18"/>
          <w:szCs w:val="18"/>
        </w:rPr>
        <w:t>L</w:t>
      </w:r>
      <w:r w:rsidR="00113A0F">
        <w:rPr>
          <w:b/>
        </w:rPr>
        <w:t xml:space="preserve">ocative </w:t>
      </w:r>
      <w:r w:rsidR="00DD0DBC">
        <w:rPr>
          <w:b/>
        </w:rPr>
        <w:t>(</w:t>
      </w:r>
      <w:r w:rsidR="00DD0DBC" w:rsidRPr="00DD0DBC">
        <w:rPr>
          <w:b/>
          <w:sz w:val="18"/>
          <w:szCs w:val="18"/>
        </w:rPr>
        <w:t>Absenc</w:t>
      </w:r>
      <w:r w:rsidR="00DD0DBC">
        <w:rPr>
          <w:b/>
          <w:sz w:val="18"/>
          <w:szCs w:val="18"/>
        </w:rPr>
        <w:t xml:space="preserve">e </w:t>
      </w:r>
      <w:r w:rsidR="00113A0F">
        <w:rPr>
          <w:b/>
          <w:sz w:val="18"/>
          <w:szCs w:val="18"/>
        </w:rPr>
        <w:t xml:space="preserve">de </w:t>
      </w:r>
      <w:r w:rsidR="00DD0DBC" w:rsidRPr="00DD0DBC">
        <w:rPr>
          <w:b/>
          <w:sz w:val="18"/>
          <w:szCs w:val="18"/>
        </w:rPr>
        <w:t>locataire</w:t>
      </w:r>
      <w:r w:rsidR="00DD0DBC">
        <w:rPr>
          <w:b/>
        </w:rPr>
        <w:t>)</w:t>
      </w:r>
    </w:p>
    <w:p w:rsidR="00DD0DBC" w:rsidRPr="00DD0DBC" w:rsidRDefault="00DD0DBC" w:rsidP="00113A0F">
      <w:pPr>
        <w:spacing w:after="0"/>
        <w:ind w:firstLine="708"/>
        <w:rPr>
          <w:b/>
        </w:rPr>
      </w:pPr>
      <w:r w:rsidRPr="00113A0F">
        <w:rPr>
          <w:rFonts w:ascii="AcmeFont" w:hAnsi="AcmeFont"/>
          <w:b/>
          <w:sz w:val="18"/>
          <w:szCs w:val="18"/>
        </w:rPr>
        <w:t>G</w:t>
      </w:r>
      <w:r>
        <w:rPr>
          <w:b/>
        </w:rPr>
        <w:t xml:space="preserve">arantie </w:t>
      </w:r>
      <w:r w:rsidRPr="00113A0F">
        <w:rPr>
          <w:rFonts w:ascii="AcmeFont" w:hAnsi="AcmeFont"/>
          <w:b/>
          <w:sz w:val="18"/>
          <w:szCs w:val="18"/>
        </w:rPr>
        <w:t>D</w:t>
      </w:r>
      <w:r>
        <w:rPr>
          <w:b/>
        </w:rPr>
        <w:t>égradation</w:t>
      </w:r>
      <w:r w:rsidRPr="00113A0F">
        <w:rPr>
          <w:rFonts w:ascii="AcmeFont" w:hAnsi="AcmeFont"/>
          <w:b/>
          <w:sz w:val="18"/>
          <w:szCs w:val="18"/>
        </w:rPr>
        <w:t xml:space="preserve"> I</w:t>
      </w:r>
      <w:r>
        <w:rPr>
          <w:b/>
        </w:rPr>
        <w:t>mmobilière</w:t>
      </w:r>
      <w:r w:rsidR="00113A0F">
        <w:rPr>
          <w:b/>
        </w:rPr>
        <w:t xml:space="preserve">         </w:t>
      </w:r>
      <w:r w:rsidR="00113A0F">
        <w:rPr>
          <w:b/>
        </w:rPr>
        <w:tab/>
      </w:r>
      <w:r w:rsidR="00113A0F">
        <w:rPr>
          <w:b/>
        </w:rPr>
        <w:tab/>
      </w:r>
      <w:r w:rsidRPr="00113A0F">
        <w:rPr>
          <w:rFonts w:ascii="AcmeFont" w:hAnsi="AcmeFont"/>
          <w:b/>
          <w:sz w:val="18"/>
          <w:szCs w:val="18"/>
        </w:rPr>
        <w:t>G</w:t>
      </w:r>
      <w:r>
        <w:rPr>
          <w:b/>
        </w:rPr>
        <w:t xml:space="preserve">arantie </w:t>
      </w:r>
      <w:r w:rsidRPr="00113A0F">
        <w:rPr>
          <w:rFonts w:ascii="AcmeFont" w:hAnsi="AcmeFont"/>
          <w:b/>
          <w:sz w:val="18"/>
          <w:szCs w:val="18"/>
        </w:rPr>
        <w:t>P</w:t>
      </w:r>
      <w:r>
        <w:rPr>
          <w:b/>
        </w:rPr>
        <w:t xml:space="preserve">rotection </w:t>
      </w:r>
      <w:r w:rsidRPr="00113A0F">
        <w:rPr>
          <w:rFonts w:ascii="AcmeFont" w:hAnsi="AcmeFont"/>
          <w:b/>
          <w:sz w:val="18"/>
          <w:szCs w:val="18"/>
        </w:rPr>
        <w:t>J</w:t>
      </w:r>
      <w:r>
        <w:rPr>
          <w:b/>
        </w:rPr>
        <w:t>uridique</w:t>
      </w:r>
    </w:p>
    <w:p w:rsidR="00DD0DBC" w:rsidRPr="00380C88" w:rsidRDefault="00DD0DBC" w:rsidP="00DD0DBC">
      <w:pPr>
        <w:spacing w:after="0"/>
        <w:jc w:val="center"/>
        <w:rPr>
          <w:b/>
          <w:color w:val="0070C0"/>
        </w:rPr>
      </w:pPr>
    </w:p>
    <w:p w:rsidR="00113A0F" w:rsidRPr="00E363C2" w:rsidRDefault="00113A0F" w:rsidP="00113A0F">
      <w:pPr>
        <w:spacing w:after="0"/>
        <w:rPr>
          <w:rFonts w:ascii="AcmeFont" w:hAnsi="AcmeFont"/>
          <w:b/>
          <w:color w:val="863103" w:themeColor="accent2" w:themeShade="80"/>
        </w:rPr>
      </w:pPr>
      <w:r w:rsidRPr="00E363C2">
        <w:rPr>
          <w:rFonts w:ascii="AcmeFont" w:hAnsi="AcmeFont"/>
          <w:b/>
          <w:color w:val="863103" w:themeColor="accent2" w:themeShade="80"/>
        </w:rPr>
        <w:t>MONTAGE FINANCIER ET FISCAL</w:t>
      </w:r>
    </w:p>
    <w:p w:rsidR="009B0A5E" w:rsidRPr="009B0A5E" w:rsidRDefault="00113A0F" w:rsidP="009B0A5E">
      <w:pPr>
        <w:spacing w:after="0"/>
        <w:jc w:val="both"/>
        <w:rPr>
          <w:b/>
        </w:rPr>
      </w:pPr>
      <w:r>
        <w:rPr>
          <w:b/>
        </w:rPr>
        <w:t xml:space="preserve">Il est </w:t>
      </w:r>
      <w:r w:rsidR="00F7620E">
        <w:rPr>
          <w:b/>
        </w:rPr>
        <w:t>préférable</w:t>
      </w:r>
      <w:r>
        <w:rPr>
          <w:b/>
        </w:rPr>
        <w:t xml:space="preserve"> que la mise en œuvre et le suivi de votre projet d’investissement soit pris en charge </w:t>
      </w:r>
      <w:r w:rsidR="00F7620E">
        <w:rPr>
          <w:b/>
        </w:rPr>
        <w:t xml:space="preserve">par un </w:t>
      </w:r>
      <w:r w:rsidR="00F7620E" w:rsidRPr="00F7620E">
        <w:rPr>
          <w:rFonts w:ascii="AcmeFont" w:hAnsi="AcmeFont"/>
          <w:b/>
          <w:sz w:val="18"/>
          <w:szCs w:val="18"/>
        </w:rPr>
        <w:t>C</w:t>
      </w:r>
      <w:r w:rsidR="00F7620E">
        <w:rPr>
          <w:b/>
        </w:rPr>
        <w:t xml:space="preserve">onseiller en </w:t>
      </w:r>
      <w:r w:rsidR="00F7620E" w:rsidRPr="00F7620E">
        <w:rPr>
          <w:rFonts w:ascii="AcmeFont" w:hAnsi="AcmeFont"/>
          <w:b/>
          <w:sz w:val="18"/>
          <w:szCs w:val="18"/>
        </w:rPr>
        <w:t>G</w:t>
      </w:r>
      <w:r w:rsidR="00F7620E">
        <w:rPr>
          <w:b/>
        </w:rPr>
        <w:t xml:space="preserve">estion de </w:t>
      </w:r>
      <w:r w:rsidR="00F7620E" w:rsidRPr="00F7620E">
        <w:rPr>
          <w:rFonts w:ascii="AcmeFont" w:hAnsi="AcmeFont"/>
          <w:b/>
          <w:sz w:val="18"/>
          <w:szCs w:val="18"/>
        </w:rPr>
        <w:t>P</w:t>
      </w:r>
      <w:r>
        <w:rPr>
          <w:b/>
        </w:rPr>
        <w:t>atrimoine</w:t>
      </w:r>
      <w:r w:rsidR="00F7620E">
        <w:rPr>
          <w:b/>
        </w:rPr>
        <w:t xml:space="preserve"> </w:t>
      </w:r>
      <w:r w:rsidR="00F7620E" w:rsidRPr="00F7620E">
        <w:rPr>
          <w:rFonts w:ascii="AcmeFont" w:hAnsi="AcmeFont"/>
          <w:b/>
          <w:sz w:val="18"/>
          <w:szCs w:val="18"/>
        </w:rPr>
        <w:t>I</w:t>
      </w:r>
      <w:r w:rsidR="00F7620E">
        <w:rPr>
          <w:b/>
        </w:rPr>
        <w:t>mmobilier</w:t>
      </w:r>
      <w:r>
        <w:rPr>
          <w:b/>
        </w:rPr>
        <w:t xml:space="preserve">. Il saura vous guider </w:t>
      </w:r>
      <w:r w:rsidR="00F7620E">
        <w:rPr>
          <w:b/>
        </w:rPr>
        <w:t>étape par étape, vous accompagner dans la constitution de votre dossier de financement et vous assister dans les démarches administratives et fiscales. Il sera le coordinateur des différents intervenants. Faites confiance à des spécialistes qui, forts de leur parcours professionnel et leur expérience sur le terrain, vous assisteront dans la réalisation de votre projet.</w:t>
      </w:r>
    </w:p>
    <w:sectPr w:rsidR="009B0A5E" w:rsidRPr="009B0A5E" w:rsidSect="00B526EE">
      <w:pgSz w:w="11906" w:h="16838"/>
      <w:pgMar w:top="510" w:right="73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cmeFo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74CAF"/>
    <w:multiLevelType w:val="hybridMultilevel"/>
    <w:tmpl w:val="4F0A88B6"/>
    <w:lvl w:ilvl="0" w:tplc="DFA2F6F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31"/>
    <w:rsid w:val="00035E31"/>
    <w:rsid w:val="00060427"/>
    <w:rsid w:val="00113A0F"/>
    <w:rsid w:val="0014325E"/>
    <w:rsid w:val="00380C88"/>
    <w:rsid w:val="00425BF9"/>
    <w:rsid w:val="00560A77"/>
    <w:rsid w:val="005859D9"/>
    <w:rsid w:val="006A0233"/>
    <w:rsid w:val="006C4DA9"/>
    <w:rsid w:val="007C6E03"/>
    <w:rsid w:val="007F454F"/>
    <w:rsid w:val="00822467"/>
    <w:rsid w:val="00933F9E"/>
    <w:rsid w:val="00983114"/>
    <w:rsid w:val="009B0A5E"/>
    <w:rsid w:val="009F5AEF"/>
    <w:rsid w:val="00B25561"/>
    <w:rsid w:val="00B526EE"/>
    <w:rsid w:val="00BE7684"/>
    <w:rsid w:val="00C53327"/>
    <w:rsid w:val="00C80BA8"/>
    <w:rsid w:val="00C84007"/>
    <w:rsid w:val="00DD0DBC"/>
    <w:rsid w:val="00E363C2"/>
    <w:rsid w:val="00E73195"/>
    <w:rsid w:val="00E80980"/>
    <w:rsid w:val="00F7620E"/>
    <w:rsid w:val="00FA5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5E31"/>
    <w:rPr>
      <w:color w:val="808080"/>
    </w:rPr>
  </w:style>
  <w:style w:type="paragraph" w:styleId="Textedebulles">
    <w:name w:val="Balloon Text"/>
    <w:basedOn w:val="Normal"/>
    <w:link w:val="TextedebullesCar"/>
    <w:uiPriority w:val="99"/>
    <w:semiHidden/>
    <w:unhideWhenUsed/>
    <w:rsid w:val="00035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E31"/>
    <w:rPr>
      <w:rFonts w:ascii="Tahoma" w:hAnsi="Tahoma" w:cs="Tahoma"/>
      <w:sz w:val="16"/>
      <w:szCs w:val="16"/>
    </w:rPr>
  </w:style>
  <w:style w:type="paragraph" w:styleId="Paragraphedeliste">
    <w:name w:val="List Paragraph"/>
    <w:basedOn w:val="Normal"/>
    <w:uiPriority w:val="34"/>
    <w:qFormat/>
    <w:rsid w:val="00585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5E31"/>
    <w:rPr>
      <w:color w:val="808080"/>
    </w:rPr>
  </w:style>
  <w:style w:type="paragraph" w:styleId="Textedebulles">
    <w:name w:val="Balloon Text"/>
    <w:basedOn w:val="Normal"/>
    <w:link w:val="TextedebullesCar"/>
    <w:uiPriority w:val="99"/>
    <w:semiHidden/>
    <w:unhideWhenUsed/>
    <w:rsid w:val="00035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E31"/>
    <w:rPr>
      <w:rFonts w:ascii="Tahoma" w:hAnsi="Tahoma" w:cs="Tahoma"/>
      <w:sz w:val="16"/>
      <w:szCs w:val="16"/>
    </w:rPr>
  </w:style>
  <w:style w:type="paragraph" w:styleId="Paragraphedeliste">
    <w:name w:val="List Paragraph"/>
    <w:basedOn w:val="Normal"/>
    <w:uiPriority w:val="34"/>
    <w:qFormat/>
    <w:rsid w:val="00585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AE7D-8FD4-4BCD-AF7B-B4E41DC3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2058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LTF-ADVICE</dc:creator>
  <cp:lastModifiedBy>LTF-ADVICE</cp:lastModifiedBy>
  <cp:revision>5</cp:revision>
  <cp:lastPrinted>2017-01-29T09:21:00Z</cp:lastPrinted>
  <dcterms:created xsi:type="dcterms:W3CDTF">2017-01-29T09:18:00Z</dcterms:created>
  <dcterms:modified xsi:type="dcterms:W3CDTF">2017-01-29T09:25:00Z</dcterms:modified>
</cp:coreProperties>
</file>